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5CBD8">
      <w:pPr>
        <w:pStyle w:val="3"/>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rPr>
      </w:pPr>
      <w:r>
        <w:rPr>
          <w:rFonts w:hint="eastAsia" w:ascii="宋体" w:hAnsi="宋体" w:eastAsia="宋体" w:cs="宋体"/>
        </w:rPr>
        <w:t xml:space="preserve"> 合同主要条款</w:t>
      </w:r>
    </w:p>
    <w:p w14:paraId="057D1D9A">
      <w:pPr>
        <w:autoSpaceDE w:val="0"/>
        <w:autoSpaceDN w:val="0"/>
        <w:adjustRightInd w:val="0"/>
        <w:snapToGrid w:val="0"/>
        <w:spacing w:line="360" w:lineRule="auto"/>
        <w:rPr>
          <w:rFonts w:hint="eastAsia" w:ascii="宋体" w:hAnsi="宋体" w:eastAsia="宋体" w:cs="宋体"/>
          <w:bCs/>
          <w:sz w:val="24"/>
          <w:szCs w:val="24"/>
          <w:lang w:val="zh-CN"/>
        </w:rPr>
      </w:pPr>
      <w:r>
        <w:rPr>
          <w:rFonts w:hint="eastAsia" w:ascii="宋体" w:hAnsi="宋体" w:eastAsia="宋体" w:cs="宋体"/>
          <w:bCs/>
          <w:sz w:val="24"/>
          <w:szCs w:val="24"/>
          <w:lang w:val="zh-CN"/>
        </w:rPr>
        <w:t>（此合同主要条款，除商务条款以外，其余部分，只作为参考，具体以采购人所提供合同为准）</w:t>
      </w:r>
    </w:p>
    <w:p w14:paraId="3A2CAF49">
      <w:pPr>
        <w:spacing w:line="360" w:lineRule="auto"/>
        <w:ind w:firstLine="480" w:firstLineChars="200"/>
        <w:rPr>
          <w:rFonts w:hint="eastAsia" w:ascii="宋体" w:hAnsi="宋体" w:eastAsia="宋体" w:cs="宋体"/>
          <w:bCs/>
          <w:color w:val="000000"/>
          <w:sz w:val="24"/>
          <w:szCs w:val="24"/>
        </w:rPr>
      </w:pPr>
    </w:p>
    <w:p w14:paraId="257C3140">
      <w:pPr>
        <w:spacing w:line="360" w:lineRule="auto"/>
        <w:ind w:firstLine="480" w:firstLineChars="200"/>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rPr>
        <w:t>甲方：</w:t>
      </w:r>
      <w:r>
        <w:rPr>
          <w:rFonts w:hint="eastAsia" w:ascii="宋体" w:hAnsi="宋体" w:eastAsia="宋体" w:cs="宋体"/>
          <w:bCs/>
          <w:color w:val="000000"/>
          <w:sz w:val="24"/>
          <w:szCs w:val="24"/>
          <w:lang w:eastAsia="zh-CN"/>
        </w:rPr>
        <w:t>陕西省交通运输工程质量监测鉴定站</w:t>
      </w:r>
    </w:p>
    <w:p w14:paraId="2DF7298B">
      <w:pPr>
        <w:spacing w:line="360" w:lineRule="auto"/>
        <w:ind w:firstLine="480" w:firstLineChars="200"/>
        <w:rPr>
          <w:rFonts w:hint="eastAsia" w:ascii="宋体" w:hAnsi="宋体" w:eastAsia="宋体" w:cs="宋体"/>
          <w:bCs/>
          <w:color w:val="000000"/>
          <w:sz w:val="24"/>
          <w:szCs w:val="24"/>
          <w:lang w:val="en-US" w:eastAsia="zh-CN"/>
        </w:rPr>
      </w:pPr>
      <w:r>
        <w:rPr>
          <w:rFonts w:hint="eastAsia" w:ascii="宋体" w:hAnsi="宋体" w:eastAsia="宋体" w:cs="宋体"/>
          <w:bCs/>
          <w:color w:val="000000"/>
          <w:sz w:val="24"/>
          <w:szCs w:val="24"/>
        </w:rPr>
        <w:t>乙方：</w:t>
      </w:r>
      <w:r>
        <w:rPr>
          <w:rFonts w:hint="eastAsia" w:ascii="宋体" w:hAnsi="宋体" w:eastAsia="宋体" w:cs="宋体"/>
          <w:bCs/>
          <w:color w:val="000000"/>
          <w:sz w:val="24"/>
          <w:szCs w:val="24"/>
          <w:lang w:val="en-US" w:eastAsia="zh-CN"/>
        </w:rPr>
        <w:t xml:space="preserve">      </w:t>
      </w:r>
    </w:p>
    <w:p w14:paraId="06062F3A">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1、进场人员管理：甲方发现进场的主要人员不能胜任工作，有权要求更换不合格人员。如果乙方不能及时按甲方现场工作组要求更换不合格人员，致使本工程</w:t>
      </w:r>
      <w:r>
        <w:rPr>
          <w:rFonts w:hint="eastAsia" w:ascii="宋体" w:hAnsi="宋体" w:eastAsia="宋体" w:cs="宋体"/>
          <w:bCs/>
          <w:color w:val="000000"/>
          <w:sz w:val="24"/>
          <w:szCs w:val="24"/>
          <w:lang w:eastAsia="zh-CN"/>
        </w:rPr>
        <w:t>质量监督检测</w:t>
      </w:r>
      <w:r>
        <w:rPr>
          <w:rFonts w:hint="eastAsia" w:ascii="宋体" w:hAnsi="宋体" w:eastAsia="宋体" w:cs="宋体"/>
          <w:bCs/>
          <w:color w:val="000000"/>
          <w:sz w:val="24"/>
          <w:szCs w:val="24"/>
        </w:rPr>
        <w:t>工作无法正常进行，甲方有权终止合同；甲方可根据工程进展情况，有权要求乙方增加或减少进场的试验检测人员。</w:t>
      </w:r>
    </w:p>
    <w:p w14:paraId="26ACA96A">
      <w:pPr>
        <w:spacing w:line="360" w:lineRule="auto"/>
        <w:ind w:firstLine="480" w:firstLineChars="200"/>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rPr>
        <w:t>2、</w:t>
      </w:r>
      <w:r>
        <w:rPr>
          <w:rFonts w:hint="eastAsia" w:ascii="宋体" w:hAnsi="宋体" w:eastAsia="宋体" w:cs="宋体"/>
          <w:bCs/>
          <w:color w:val="000000"/>
          <w:sz w:val="24"/>
          <w:szCs w:val="24"/>
          <w:lang w:eastAsia="zh-CN"/>
        </w:rPr>
        <w:t>质量监督检测</w:t>
      </w:r>
      <w:r>
        <w:rPr>
          <w:rFonts w:hint="eastAsia" w:ascii="宋体" w:hAnsi="宋体" w:eastAsia="宋体" w:cs="宋体"/>
          <w:bCs/>
          <w:color w:val="000000"/>
          <w:sz w:val="24"/>
          <w:szCs w:val="24"/>
        </w:rPr>
        <w:t>服务人员不得擅自离开工地，甲方应对检测人员的出勤情况进行考核。乙方应建立节假日出勤制度及考勤制度，甲方有权查阅各单位的考勤记录及检查现场人员出勤情况，检测试验人员</w:t>
      </w:r>
      <w:r>
        <w:rPr>
          <w:rFonts w:hint="eastAsia" w:ascii="宋体" w:hAnsi="宋体" w:cs="宋体"/>
          <w:bCs/>
          <w:color w:val="000000"/>
          <w:sz w:val="24"/>
          <w:szCs w:val="24"/>
          <w:lang w:val="en-US" w:eastAsia="zh-CN"/>
        </w:rPr>
        <w:t>不得擅自离开工地</w:t>
      </w:r>
      <w:r>
        <w:rPr>
          <w:rFonts w:hint="eastAsia" w:ascii="宋体" w:hAnsi="宋体" w:eastAsia="宋体" w:cs="宋体"/>
          <w:bCs/>
          <w:color w:val="000000"/>
          <w:sz w:val="24"/>
          <w:szCs w:val="24"/>
        </w:rPr>
        <w:t>。</w:t>
      </w:r>
    </w:p>
    <w:p w14:paraId="1108D1BE">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3、乙方应在签订检测合同7日内，根据甲方批准的施工计划，乙方向甲方提交检测总体计划，检测计划应紧密与施工安排相协调。</w:t>
      </w:r>
    </w:p>
    <w:p w14:paraId="08B5663A">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4、乙方在检测试验服务期内应自费为其所有检测人员及服务任务提供保险，包括医疗、人身意外伤害等一切保险。检测人员的任何疾病、伤害及意外均由乙方负责，甲方不承担任何责任和费用。</w:t>
      </w:r>
    </w:p>
    <w:p w14:paraId="3D2B9290">
      <w:pPr>
        <w:snapToGrid w:val="0"/>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rPr>
        <w:t>5、乙方在工作过程中，要制定详尽的安全措施及预案，保证充足的安全生产费用投入，配备足够的安全设施及人员，杜绝安全责任事故发生，甲方不承担任何责任和费用。</w:t>
      </w:r>
    </w:p>
    <w:p w14:paraId="1CD13A74">
      <w:pPr>
        <w:snapToGrid w:val="0"/>
        <w:spacing w:line="360" w:lineRule="auto"/>
        <w:ind w:firstLine="480" w:firstLineChars="200"/>
        <w:rPr>
          <w:rFonts w:hint="eastAsia" w:ascii="宋体" w:hAnsi="宋体" w:eastAsia="宋体" w:cs="宋体"/>
          <w:color w:val="auto"/>
          <w:sz w:val="24"/>
          <w:szCs w:val="22"/>
          <w:lang w:eastAsia="zh-CN"/>
        </w:rPr>
      </w:pPr>
      <w:r>
        <w:rPr>
          <w:rFonts w:hint="eastAsia" w:ascii="宋体" w:hAnsi="宋体" w:eastAsia="宋体" w:cs="宋体"/>
          <w:color w:val="auto"/>
          <w:sz w:val="24"/>
          <w:szCs w:val="22"/>
        </w:rPr>
        <w:t>6、</w:t>
      </w:r>
      <w:bookmarkStart w:id="0" w:name="_GoBack"/>
      <w:bookmarkEnd w:id="0"/>
      <w:r>
        <w:rPr>
          <w:rFonts w:hint="eastAsia" w:ascii="宋体" w:hAnsi="宋体" w:eastAsia="宋体" w:cs="宋体"/>
          <w:b/>
          <w:bCs/>
          <w:color w:val="auto"/>
          <w:sz w:val="24"/>
          <w:szCs w:val="22"/>
          <w:lang w:val="en-US" w:eastAsia="zh-CN"/>
        </w:rPr>
        <w:t>乙方除提供</w:t>
      </w:r>
      <w:r>
        <w:rPr>
          <w:rFonts w:hint="eastAsia" w:ascii="宋体" w:hAnsi="宋体" w:eastAsia="宋体" w:cs="宋体"/>
          <w:b/>
          <w:bCs/>
          <w:color w:val="auto"/>
          <w:sz w:val="24"/>
          <w:szCs w:val="22"/>
        </w:rPr>
        <w:t>需提供带签章检测报告扫描的PDF版本电子资料，同时提供光盘和U盘介质保存的资料</w:t>
      </w:r>
      <w:r>
        <w:rPr>
          <w:rFonts w:hint="eastAsia" w:ascii="宋体" w:hAnsi="宋体" w:eastAsia="宋体" w:cs="宋体"/>
          <w:b/>
          <w:bCs/>
          <w:color w:val="auto"/>
          <w:sz w:val="24"/>
          <w:szCs w:val="22"/>
          <w:lang w:eastAsia="zh-CN"/>
        </w:rPr>
        <w:t>。</w:t>
      </w:r>
    </w:p>
    <w:p w14:paraId="138ADED5">
      <w:pPr>
        <w:snapToGrid w:val="0"/>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lang w:val="en-US" w:eastAsia="zh-CN"/>
        </w:rPr>
        <w:t>7、</w:t>
      </w:r>
      <w:r>
        <w:rPr>
          <w:rFonts w:hint="eastAsia" w:ascii="宋体" w:hAnsi="宋体" w:eastAsia="宋体" w:cs="宋体"/>
          <w:b/>
          <w:bCs/>
          <w:color w:val="auto"/>
          <w:sz w:val="24"/>
          <w:szCs w:val="22"/>
          <w:lang w:val="en-US" w:eastAsia="zh-CN"/>
        </w:rPr>
        <w:t>乙方</w:t>
      </w:r>
      <w:r>
        <w:rPr>
          <w:rFonts w:hint="eastAsia" w:ascii="宋体" w:hAnsi="宋体" w:eastAsia="宋体" w:cs="宋体"/>
          <w:b/>
          <w:bCs/>
          <w:color w:val="auto"/>
          <w:sz w:val="24"/>
          <w:szCs w:val="22"/>
        </w:rPr>
        <w:t>应对所承接检测项目的所有资料进行整理归档</w:t>
      </w:r>
      <w:r>
        <w:rPr>
          <w:rFonts w:hint="eastAsia" w:ascii="宋体" w:hAnsi="宋体" w:eastAsia="宋体" w:cs="宋体"/>
          <w:b/>
          <w:bCs/>
          <w:color w:val="auto"/>
          <w:sz w:val="24"/>
          <w:szCs w:val="22"/>
          <w:lang w:val="en-US" w:eastAsia="zh-CN"/>
        </w:rPr>
        <w:t>并按照国家档案管理要求进行存档</w:t>
      </w:r>
      <w:r>
        <w:rPr>
          <w:rFonts w:hint="eastAsia" w:ascii="宋体" w:hAnsi="宋体" w:eastAsia="宋体" w:cs="宋体"/>
          <w:b/>
          <w:bCs/>
          <w:color w:val="auto"/>
          <w:sz w:val="24"/>
          <w:szCs w:val="22"/>
        </w:rPr>
        <w:t>，</w:t>
      </w:r>
      <w:r>
        <w:rPr>
          <w:rFonts w:hint="eastAsia" w:ascii="宋体" w:hAnsi="宋体" w:eastAsia="宋体" w:cs="宋体"/>
          <w:b/>
          <w:bCs/>
          <w:color w:val="auto"/>
          <w:sz w:val="24"/>
          <w:szCs w:val="22"/>
          <w:lang w:val="en-US" w:eastAsia="zh-CN"/>
        </w:rPr>
        <w:t>甲方</w:t>
      </w:r>
      <w:r>
        <w:rPr>
          <w:rFonts w:hint="eastAsia" w:ascii="宋体" w:hAnsi="宋体" w:eastAsia="宋体" w:cs="宋体"/>
          <w:b/>
          <w:bCs/>
          <w:color w:val="auto"/>
          <w:sz w:val="24"/>
          <w:szCs w:val="22"/>
        </w:rPr>
        <w:t>只接受总报告纸质版资料及完整报告的电子版资料</w:t>
      </w:r>
      <w:r>
        <w:rPr>
          <w:rFonts w:hint="eastAsia" w:ascii="宋体" w:hAnsi="宋体" w:eastAsia="宋体" w:cs="宋体"/>
          <w:color w:val="auto"/>
          <w:sz w:val="24"/>
          <w:szCs w:val="22"/>
        </w:rPr>
        <w:t>（报告电子版资料为完整报告盖章后扫描的PDF文档）。</w:t>
      </w:r>
    </w:p>
    <w:p w14:paraId="318966E8">
      <w:pPr>
        <w:snapToGrid w:val="0"/>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lang w:val="en-US" w:eastAsia="zh-CN"/>
        </w:rPr>
        <w:t>8、</w:t>
      </w:r>
      <w:r>
        <w:rPr>
          <w:rFonts w:hint="eastAsia" w:ascii="宋体" w:hAnsi="宋体" w:eastAsia="宋体" w:cs="宋体"/>
          <w:color w:val="auto"/>
          <w:sz w:val="24"/>
          <w:szCs w:val="22"/>
        </w:rPr>
        <w:t>在检测期间有下列情况之一时，将视为乙方违约，甲方有权终止合同或要求赔偿。</w:t>
      </w:r>
    </w:p>
    <w:p w14:paraId="12D0BCF5">
      <w:pPr>
        <w:snapToGrid w:val="0"/>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rPr>
        <w:t>（1）转包检测合同；</w:t>
      </w:r>
    </w:p>
    <w:p w14:paraId="610E5042">
      <w:pPr>
        <w:snapToGrid w:val="0"/>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（2）乙方所出资料有弄虚作假；</w:t>
      </w:r>
    </w:p>
    <w:p w14:paraId="0B313BED">
      <w:pPr>
        <w:snapToGrid w:val="0"/>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（3）由于检测工作失误或疏忽，使工程损失较大或使关键工程延期；</w:t>
      </w:r>
    </w:p>
    <w:p w14:paraId="51EB782B">
      <w:pPr>
        <w:snapToGrid w:val="0"/>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（4）乙方违反合同的规定并造成甲方经济损失的应向甲方赔偿。</w:t>
      </w:r>
    </w:p>
    <w:p w14:paraId="0C58B32F">
      <w:pPr>
        <w:snapToGrid w:val="0"/>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lang w:val="en-US" w:eastAsia="zh-CN"/>
        </w:rPr>
        <w:t>9、</w:t>
      </w:r>
      <w:r>
        <w:rPr>
          <w:rFonts w:hint="eastAsia" w:ascii="宋体" w:hAnsi="宋体" w:eastAsia="宋体" w:cs="宋体"/>
          <w:sz w:val="24"/>
          <w:szCs w:val="22"/>
        </w:rPr>
        <w:t>赔偿的限额</w:t>
      </w:r>
    </w:p>
    <w:p w14:paraId="44C32915">
      <w:pPr>
        <w:snapToGrid w:val="0"/>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在此双方约定，双方的赔偿金额不超过总服务总费用的10%，一致同意放弃超过该限额的剩余赔偿要求。但本合同条件</w:t>
      </w:r>
      <w:r>
        <w:rPr>
          <w:rFonts w:hint="eastAsia" w:ascii="宋体" w:hAnsi="宋体" w:eastAsia="宋体" w:cs="宋体"/>
          <w:sz w:val="24"/>
          <w:szCs w:val="22"/>
          <w:lang w:eastAsia="zh-CN"/>
        </w:rPr>
        <w:t>其他</w:t>
      </w:r>
      <w:r>
        <w:rPr>
          <w:rFonts w:hint="eastAsia" w:ascii="宋体" w:hAnsi="宋体" w:eastAsia="宋体" w:cs="宋体"/>
          <w:sz w:val="24"/>
          <w:szCs w:val="22"/>
        </w:rPr>
        <w:t>条款规定的补偿和由于任何一方故意违约而引起的索赔，不受该限额的限制。</w:t>
      </w:r>
    </w:p>
    <w:p w14:paraId="74154465">
      <w:pPr>
        <w:snapToGrid w:val="0"/>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lang w:val="en-US" w:eastAsia="zh-CN"/>
        </w:rPr>
        <w:t>10</w:t>
      </w:r>
      <w:r>
        <w:rPr>
          <w:rFonts w:hint="eastAsia" w:ascii="宋体" w:hAnsi="宋体" w:eastAsia="宋体" w:cs="宋体"/>
          <w:sz w:val="24"/>
          <w:szCs w:val="22"/>
        </w:rPr>
        <w:t>、支付</w:t>
      </w:r>
    </w:p>
    <w:p w14:paraId="4E244535">
      <w:pPr>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000000"/>
          <w:sz w:val="24"/>
          <w:szCs w:val="24"/>
          <w:highlight w:val="none"/>
        </w:rPr>
        <w:t>（1）</w:t>
      </w:r>
      <w:r>
        <w:rPr>
          <w:rFonts w:hint="eastAsia" w:ascii="宋体" w:hAnsi="宋体" w:eastAsia="宋体" w:cs="宋体"/>
          <w:sz w:val="24"/>
          <w:szCs w:val="22"/>
          <w:highlight w:val="none"/>
        </w:rPr>
        <w:t>合同生效且乙方进场开展工作后15日，经双方协商甲方视工作开展具体情况</w:t>
      </w:r>
      <w:r>
        <w:rPr>
          <w:rFonts w:hint="eastAsia" w:ascii="宋体" w:hAnsi="宋体" w:eastAsia="宋体" w:cs="宋体"/>
          <w:color w:val="auto"/>
          <w:sz w:val="24"/>
          <w:szCs w:val="22"/>
          <w:highlight w:val="none"/>
        </w:rPr>
        <w:t>向乙方支付合同金额，支付时乙方应提供正式发票。</w:t>
      </w:r>
    </w:p>
    <w:p w14:paraId="7F11B4F5">
      <w:pPr>
        <w:snapToGrid w:val="0"/>
        <w:spacing w:line="360" w:lineRule="auto"/>
        <w:ind w:firstLine="480" w:firstLineChars="200"/>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lang w:eastAsia="zh-CN"/>
        </w:rPr>
        <w:t>（</w:t>
      </w:r>
      <w:r>
        <w:rPr>
          <w:rFonts w:hint="eastAsia" w:ascii="宋体" w:hAnsi="宋体" w:eastAsia="宋体" w:cs="宋体"/>
          <w:color w:val="auto"/>
          <w:sz w:val="24"/>
          <w:szCs w:val="22"/>
          <w:highlight w:val="none"/>
          <w:lang w:val="en-US" w:eastAsia="zh-CN"/>
        </w:rPr>
        <w:t>2</w:t>
      </w:r>
      <w:r>
        <w:rPr>
          <w:rFonts w:hint="eastAsia" w:ascii="宋体" w:hAnsi="宋体" w:eastAsia="宋体" w:cs="宋体"/>
          <w:color w:val="auto"/>
          <w:sz w:val="24"/>
          <w:szCs w:val="22"/>
          <w:highlight w:val="none"/>
          <w:lang w:eastAsia="zh-CN"/>
        </w:rPr>
        <w:t>）</w:t>
      </w:r>
      <w:r>
        <w:rPr>
          <w:rFonts w:hint="eastAsia" w:ascii="宋体" w:hAnsi="宋体" w:eastAsia="宋体" w:cs="宋体"/>
          <w:color w:val="auto"/>
          <w:sz w:val="24"/>
          <w:szCs w:val="22"/>
          <w:highlight w:val="none"/>
        </w:rPr>
        <w:t>本项目合同</w:t>
      </w:r>
      <w:r>
        <w:rPr>
          <w:rFonts w:hint="eastAsia" w:ascii="宋体" w:hAnsi="宋体" w:eastAsia="宋体" w:cs="宋体"/>
          <w:b/>
          <w:bCs/>
          <w:color w:val="auto"/>
          <w:sz w:val="24"/>
          <w:szCs w:val="22"/>
          <w:highlight w:val="none"/>
          <w:lang w:eastAsia="zh-CN"/>
        </w:rPr>
        <w:t>单</w:t>
      </w:r>
      <w:r>
        <w:rPr>
          <w:rFonts w:hint="eastAsia" w:ascii="宋体" w:hAnsi="宋体" w:eastAsia="宋体" w:cs="宋体"/>
          <w:b/>
          <w:bCs/>
          <w:color w:val="auto"/>
          <w:sz w:val="24"/>
          <w:szCs w:val="22"/>
          <w:highlight w:val="none"/>
        </w:rPr>
        <w:t>价</w:t>
      </w:r>
      <w:r>
        <w:rPr>
          <w:rFonts w:hint="eastAsia" w:ascii="宋体" w:hAnsi="宋体" w:eastAsia="宋体" w:cs="宋体"/>
          <w:b/>
          <w:bCs/>
          <w:color w:val="auto"/>
          <w:sz w:val="24"/>
          <w:szCs w:val="22"/>
          <w:highlight w:val="none"/>
          <w:lang w:val="en-US" w:eastAsia="zh-CN"/>
        </w:rPr>
        <w:t>及总价</w:t>
      </w:r>
      <w:r>
        <w:rPr>
          <w:rFonts w:hint="eastAsia" w:ascii="宋体" w:hAnsi="宋体" w:eastAsia="宋体" w:cs="宋体"/>
          <w:b/>
          <w:bCs/>
          <w:color w:val="auto"/>
          <w:sz w:val="24"/>
          <w:szCs w:val="22"/>
          <w:highlight w:val="none"/>
        </w:rPr>
        <w:t>不予调整</w:t>
      </w:r>
      <w:r>
        <w:rPr>
          <w:rFonts w:hint="eastAsia" w:ascii="宋体" w:hAnsi="宋体" w:eastAsia="宋体" w:cs="宋体"/>
          <w:color w:val="auto"/>
          <w:sz w:val="24"/>
          <w:szCs w:val="22"/>
          <w:highlight w:val="none"/>
        </w:rPr>
        <w:t>，合同执行过程中，如工作内容与招标要求发生重大变化、检测项目延期交工或其他原因导致</w:t>
      </w:r>
      <w:r>
        <w:rPr>
          <w:rFonts w:hint="eastAsia" w:ascii="宋体" w:hAnsi="宋体" w:eastAsia="宋体" w:cs="宋体"/>
          <w:b/>
          <w:bCs/>
          <w:color w:val="auto"/>
          <w:sz w:val="24"/>
          <w:szCs w:val="22"/>
          <w:highlight w:val="none"/>
        </w:rPr>
        <w:t>合同延期</w:t>
      </w:r>
      <w:r>
        <w:rPr>
          <w:rFonts w:hint="eastAsia" w:ascii="宋体" w:hAnsi="宋体" w:eastAsia="宋体" w:cs="宋体"/>
          <w:b/>
          <w:bCs/>
          <w:color w:val="auto"/>
          <w:sz w:val="24"/>
          <w:szCs w:val="22"/>
          <w:highlight w:val="none"/>
          <w:lang w:val="en-US" w:eastAsia="zh-CN"/>
        </w:rPr>
        <w:t>及合同内容变更</w:t>
      </w:r>
      <w:r>
        <w:rPr>
          <w:rFonts w:hint="eastAsia" w:ascii="宋体" w:hAnsi="宋体" w:eastAsia="宋体" w:cs="宋体"/>
          <w:b/>
          <w:bCs/>
          <w:color w:val="auto"/>
          <w:sz w:val="24"/>
          <w:szCs w:val="22"/>
          <w:highlight w:val="none"/>
        </w:rPr>
        <w:t>的，由双方另行协商。</w:t>
      </w:r>
    </w:p>
    <w:p w14:paraId="3E9655C6">
      <w:pPr>
        <w:snapToGrid w:val="0"/>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lang w:val="en-US" w:eastAsia="zh-CN"/>
        </w:rPr>
        <w:t>11</w:t>
      </w:r>
      <w:r>
        <w:rPr>
          <w:rFonts w:hint="eastAsia" w:ascii="宋体" w:hAnsi="宋体" w:eastAsia="宋体" w:cs="宋体"/>
          <w:color w:val="auto"/>
          <w:sz w:val="24"/>
          <w:szCs w:val="22"/>
        </w:rPr>
        <w:t>、如果合同服务期延长，不再增加费用。</w:t>
      </w:r>
    </w:p>
    <w:p w14:paraId="440A8791">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color w:val="auto"/>
          <w:kern w:val="2"/>
          <w:sz w:val="24"/>
          <w:szCs w:val="22"/>
          <w:highlight w:val="none"/>
          <w:lang w:val="en-US" w:eastAsia="zh-CN" w:bidi="ar-SA"/>
        </w:rPr>
      </w:pPr>
      <w:r>
        <w:rPr>
          <w:rFonts w:hint="eastAsia" w:ascii="宋体" w:hAnsi="宋体" w:eastAsia="宋体" w:cs="宋体"/>
          <w:b/>
          <w:bCs/>
          <w:color w:val="auto"/>
          <w:kern w:val="2"/>
          <w:sz w:val="24"/>
          <w:szCs w:val="22"/>
          <w:highlight w:val="none"/>
          <w:lang w:val="en-US" w:eastAsia="zh-CN" w:bidi="ar-SA"/>
        </w:rPr>
        <w:t>12、乙方应按照甲方要求提交预付款保函，保证保函真实、合法、有效，并按照甲方要求按支付进度对保函进行更新。</w:t>
      </w:r>
    </w:p>
    <w:p w14:paraId="38F6A768">
      <w:pPr>
        <w:snapToGrid w:val="0"/>
        <w:spacing w:line="360" w:lineRule="auto"/>
        <w:ind w:firstLine="480" w:firstLineChars="200"/>
        <w:rPr>
          <w:rFonts w:hint="eastAsia" w:ascii="宋体" w:hAnsi="宋体" w:eastAsia="宋体" w:cs="宋体"/>
          <w:caps w:val="0"/>
          <w:sz w:val="24"/>
          <w:szCs w:val="24"/>
        </w:rPr>
      </w:pPr>
      <w:r>
        <w:rPr>
          <w:rFonts w:hint="eastAsia" w:ascii="宋体" w:hAnsi="宋体" w:eastAsia="宋体" w:cs="宋体"/>
          <w:sz w:val="24"/>
          <w:szCs w:val="22"/>
        </w:rPr>
        <w:t>1</w:t>
      </w:r>
      <w:r>
        <w:rPr>
          <w:rFonts w:hint="eastAsia" w:ascii="宋体" w:hAnsi="宋体" w:eastAsia="宋体" w:cs="宋体"/>
          <w:sz w:val="24"/>
          <w:szCs w:val="22"/>
          <w:lang w:val="en-US" w:eastAsia="zh-CN"/>
        </w:rPr>
        <w:t>3</w:t>
      </w:r>
      <w:r>
        <w:rPr>
          <w:rFonts w:hint="eastAsia" w:ascii="宋体" w:hAnsi="宋体" w:eastAsia="宋体" w:cs="宋体"/>
          <w:sz w:val="24"/>
          <w:szCs w:val="22"/>
        </w:rPr>
        <w:t>、检测工作完成后将检测试验报告装订成</w:t>
      </w:r>
      <w:r>
        <w:rPr>
          <w:rFonts w:hint="eastAsia" w:ascii="宋体" w:hAnsi="宋体" w:eastAsia="宋体" w:cs="宋体"/>
          <w:color w:val="auto"/>
          <w:sz w:val="24"/>
          <w:szCs w:val="22"/>
        </w:rPr>
        <w:t>册，</w:t>
      </w:r>
      <w:r>
        <w:rPr>
          <w:rFonts w:hint="eastAsia" w:ascii="宋体" w:hAnsi="宋体" w:eastAsia="宋体" w:cs="宋体"/>
          <w:b/>
          <w:bCs/>
          <w:color w:val="auto"/>
          <w:sz w:val="24"/>
          <w:szCs w:val="22"/>
        </w:rPr>
        <w:t>一式</w:t>
      </w:r>
      <w:r>
        <w:rPr>
          <w:rFonts w:hint="eastAsia" w:ascii="宋体" w:hAnsi="宋体" w:eastAsia="宋体" w:cs="宋体"/>
          <w:b/>
          <w:bCs/>
          <w:color w:val="auto"/>
          <w:sz w:val="24"/>
          <w:szCs w:val="22"/>
          <w:lang w:eastAsia="zh-CN"/>
        </w:rPr>
        <w:t>叁</w:t>
      </w:r>
      <w:r>
        <w:rPr>
          <w:rFonts w:hint="eastAsia" w:ascii="宋体" w:hAnsi="宋体" w:eastAsia="宋体" w:cs="宋体"/>
          <w:b/>
          <w:bCs/>
          <w:color w:val="auto"/>
          <w:sz w:val="24"/>
          <w:szCs w:val="22"/>
        </w:rPr>
        <w:t>份</w:t>
      </w:r>
      <w:r>
        <w:rPr>
          <w:rFonts w:hint="eastAsia" w:ascii="宋体" w:hAnsi="宋体" w:eastAsia="宋体" w:cs="宋体"/>
          <w:b/>
          <w:bCs/>
          <w:color w:val="auto"/>
          <w:sz w:val="24"/>
          <w:szCs w:val="22"/>
          <w:lang w:eastAsia="zh-CN"/>
        </w:rPr>
        <w:t>（</w:t>
      </w:r>
      <w:r>
        <w:rPr>
          <w:rFonts w:hint="eastAsia" w:ascii="宋体" w:hAnsi="宋体" w:eastAsia="宋体" w:cs="宋体"/>
          <w:b/>
          <w:bCs/>
          <w:color w:val="auto"/>
          <w:sz w:val="24"/>
          <w:szCs w:val="22"/>
          <w:lang w:val="en-US" w:eastAsia="zh-CN"/>
        </w:rPr>
        <w:t>检测科定</w:t>
      </w:r>
      <w:r>
        <w:rPr>
          <w:rFonts w:hint="eastAsia" w:ascii="宋体" w:hAnsi="宋体" w:eastAsia="宋体" w:cs="宋体"/>
          <w:b/>
          <w:bCs/>
          <w:color w:val="auto"/>
          <w:sz w:val="24"/>
          <w:szCs w:val="22"/>
          <w:lang w:eastAsia="zh-CN"/>
        </w:rPr>
        <w:t>）</w:t>
      </w:r>
      <w:r>
        <w:rPr>
          <w:rFonts w:hint="eastAsia" w:ascii="宋体" w:hAnsi="宋体" w:eastAsia="宋体" w:cs="宋体"/>
          <w:color w:val="auto"/>
          <w:sz w:val="24"/>
          <w:szCs w:val="22"/>
        </w:rPr>
        <w:t>，报甲方</w:t>
      </w:r>
      <w:r>
        <w:rPr>
          <w:rFonts w:hint="eastAsia" w:ascii="宋体" w:hAnsi="宋体" w:eastAsia="宋体" w:cs="宋体"/>
          <w:sz w:val="24"/>
        </w:rPr>
        <w:t>。</w:t>
      </w:r>
    </w:p>
    <w:p w14:paraId="18E44E42">
      <w:pPr>
        <w:keepNext w:val="0"/>
        <w:keepLines w:val="0"/>
        <w:pageBreakBefore w:val="0"/>
        <w:tabs>
          <w:tab w:val="left" w:pos="5875"/>
        </w:tabs>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42E5F">
    <w:pPr>
      <w:pStyle w:val="11"/>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1ZDM5NTYzYzE2YmJhMTFkMmM4MGJjYzEzYjA3ZTIifQ=="/>
  </w:docVars>
  <w:rsids>
    <w:rsidRoot w:val="00000000"/>
    <w:rsid w:val="01707A38"/>
    <w:rsid w:val="04806B11"/>
    <w:rsid w:val="07527741"/>
    <w:rsid w:val="0D95362E"/>
    <w:rsid w:val="11E73590"/>
    <w:rsid w:val="186F3C47"/>
    <w:rsid w:val="20FC07C4"/>
    <w:rsid w:val="2A930D9D"/>
    <w:rsid w:val="2D1F486A"/>
    <w:rsid w:val="2DD44A97"/>
    <w:rsid w:val="2E652751"/>
    <w:rsid w:val="3770049A"/>
    <w:rsid w:val="37CF10E1"/>
    <w:rsid w:val="37D17853"/>
    <w:rsid w:val="3BAB3E99"/>
    <w:rsid w:val="3DE67A03"/>
    <w:rsid w:val="3F5E2AF1"/>
    <w:rsid w:val="41E41EB2"/>
    <w:rsid w:val="438A4C0D"/>
    <w:rsid w:val="45316ED2"/>
    <w:rsid w:val="45F26621"/>
    <w:rsid w:val="49192DBB"/>
    <w:rsid w:val="4CD34FFD"/>
    <w:rsid w:val="534C170E"/>
    <w:rsid w:val="5E0B4413"/>
    <w:rsid w:val="639826A5"/>
    <w:rsid w:val="652958BB"/>
    <w:rsid w:val="694D5CE0"/>
    <w:rsid w:val="6CD26BC1"/>
    <w:rsid w:val="72545343"/>
    <w:rsid w:val="79B63EC3"/>
    <w:rsid w:val="7D33726F"/>
    <w:rsid w:val="7F484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jc w:val="center"/>
      <w:outlineLvl w:val="0"/>
    </w:pPr>
    <w:rPr>
      <w:rFonts w:ascii="宋体" w:hAnsi="宋体"/>
      <w:b/>
      <w:sz w:val="36"/>
    </w:rPr>
  </w:style>
  <w:style w:type="paragraph" w:styleId="4">
    <w:name w:val="heading 2"/>
    <w:basedOn w:val="1"/>
    <w:next w:val="5"/>
    <w:qFormat/>
    <w:uiPriority w:val="99"/>
    <w:pPr>
      <w:keepNext/>
      <w:keepLines/>
      <w:spacing w:before="120" w:after="120" w:line="360" w:lineRule="auto"/>
      <w:jc w:val="center"/>
      <w:outlineLvl w:val="1"/>
    </w:pPr>
    <w:rPr>
      <w:rFonts w:ascii="Arial" w:hAnsi="Arial"/>
      <w:b/>
      <w:bCs/>
      <w:sz w:val="36"/>
      <w:szCs w:val="32"/>
    </w:rPr>
  </w:style>
  <w:style w:type="paragraph" w:styleId="6">
    <w:name w:val="heading 4"/>
    <w:basedOn w:val="1"/>
    <w:next w:val="1"/>
    <w:autoRedefine/>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autoSpaceDE w:val="0"/>
      <w:autoSpaceDN w:val="0"/>
      <w:adjustRightInd w:val="0"/>
      <w:spacing w:before="120" w:beforeLines="0" w:beforeAutospacing="0"/>
      <w:jc w:val="left"/>
    </w:pPr>
    <w:rPr>
      <w:rFonts w:ascii="Arial" w:hAnsi="Arial"/>
      <w:kern w:val="0"/>
      <w:sz w:val="24"/>
    </w:r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Body Text"/>
    <w:basedOn w:val="1"/>
    <w:next w:val="1"/>
    <w:autoRedefine/>
    <w:qFormat/>
    <w:uiPriority w:val="0"/>
    <w:rPr>
      <w:color w:val="993300"/>
      <w:sz w:val="24"/>
    </w:rPr>
  </w:style>
  <w:style w:type="paragraph" w:styleId="8">
    <w:name w:val="Body Text Indent"/>
    <w:basedOn w:val="1"/>
    <w:next w:val="9"/>
    <w:qFormat/>
    <w:uiPriority w:val="0"/>
    <w:pPr>
      <w:spacing w:after="120" w:afterLines="0" w:afterAutospacing="0"/>
      <w:ind w:left="420" w:leftChars="200"/>
    </w:pPr>
  </w:style>
  <w:style w:type="paragraph" w:styleId="9">
    <w:name w:val="Body Text Indent 2"/>
    <w:basedOn w:val="1"/>
    <w:next w:val="1"/>
    <w:qFormat/>
    <w:uiPriority w:val="0"/>
    <w:pPr>
      <w:spacing w:after="120" w:afterLines="0" w:afterAutospacing="0" w:line="480" w:lineRule="auto"/>
      <w:ind w:left="420" w:leftChars="200"/>
    </w:pPr>
  </w:style>
  <w:style w:type="paragraph" w:styleId="10">
    <w:name w:val="Plain Text"/>
    <w:basedOn w:val="1"/>
    <w:autoRedefine/>
    <w:qFormat/>
    <w:uiPriority w:val="99"/>
    <w:rPr>
      <w:rFonts w:ascii="宋体" w:hAnsi="Courier New"/>
      <w:szCs w:val="21"/>
    </w:rPr>
  </w:style>
  <w:style w:type="paragraph" w:styleId="11">
    <w:name w:val="footer"/>
    <w:basedOn w:val="1"/>
    <w:autoRedefine/>
    <w:qFormat/>
    <w:uiPriority w:val="99"/>
    <w:pPr>
      <w:tabs>
        <w:tab w:val="center" w:pos="4153"/>
        <w:tab w:val="right" w:pos="8306"/>
      </w:tabs>
      <w:snapToGrid w:val="0"/>
      <w:jc w:val="left"/>
    </w:pPr>
    <w:rPr>
      <w:rFonts w:eastAsia="宋体"/>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Subtitle"/>
    <w:basedOn w:val="1"/>
    <w:next w:val="1"/>
    <w:autoRedefine/>
    <w:qFormat/>
    <w:uiPriority w:val="0"/>
    <w:pPr>
      <w:spacing w:before="240" w:after="60" w:line="312" w:lineRule="auto"/>
      <w:jc w:val="center"/>
      <w:outlineLvl w:val="1"/>
    </w:pPr>
    <w:rPr>
      <w:rFonts w:ascii="Cambria" w:hAnsi="Cambria"/>
      <w:b/>
      <w:bCs/>
      <w:kern w:val="28"/>
      <w:sz w:val="32"/>
      <w:szCs w:val="32"/>
    </w:rPr>
  </w:style>
  <w:style w:type="paragraph" w:styleId="14">
    <w:name w:val="Normal (Web)"/>
    <w:basedOn w:val="1"/>
    <w:qFormat/>
    <w:uiPriority w:val="99"/>
    <w:pPr>
      <w:widowControl/>
      <w:spacing w:before="100" w:beforeAutospacing="1" w:after="100" w:afterAutospacing="1"/>
      <w:jc w:val="left"/>
    </w:pPr>
    <w:rPr>
      <w:rFonts w:ascii="宋体" w:hAnsi="宋体"/>
      <w:kern w:val="0"/>
      <w:sz w:val="24"/>
    </w:rPr>
  </w:style>
  <w:style w:type="paragraph" w:styleId="15">
    <w:name w:val="Body Text First Indent 2"/>
    <w:basedOn w:val="8"/>
    <w:qFormat/>
    <w:uiPriority w:val="0"/>
    <w:pPr>
      <w:ind w:firstLine="420" w:firstLineChars="200"/>
    </w:pPr>
    <w:rPr>
      <w:szCs w:val="24"/>
    </w:rPr>
  </w:style>
  <w:style w:type="paragraph" w:customStyle="1" w:styleId="18">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1242</Words>
  <Characters>1261</Characters>
  <Lines>0</Lines>
  <Paragraphs>0</Paragraphs>
  <TotalTime>4</TotalTime>
  <ScaleCrop>false</ScaleCrop>
  <LinksUpToDate>false</LinksUpToDate>
  <CharactersWithSpaces>1268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2024-03-20T00:26:00Z</dcterms:created>
  <dc:creator>admin</dc:creator>
  <cp:lastModifiedBy>summs薄情い</cp:lastModifiedBy>
  <dcterms:modified xsi:type="dcterms:W3CDTF">2026-04-22T08:12:30Z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22C240B97E8546E2AD7BD082EB1D7581_13</vt:lpwstr>
  </property>
  <property fmtid="{D5CDD505-2E9C-101B-9397-08002B2CF9AE}" pid="4" name="KSOTemplateDocerSaveRecord">
    <vt:lpwstr>eyJoZGlkIjoiYzY0ZDQ1MzhkMmVmZGYzNWJiMzg5ZWVjNWE1YjEzMzYiLCJ1c2VySWQiOiI2NzUzMjgxMTQifQ==</vt:lpwstr>
  </property>
</Properties>
</file>